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866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6675" w:rsidRDefault="00FD489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86675" w:rsidRDefault="00FD4894">
            <w:pPr>
              <w:spacing w:after="0" w:line="240" w:lineRule="auto"/>
            </w:pPr>
            <w:r>
              <w:t>8027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6675" w:rsidRDefault="00FD489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86675" w:rsidRDefault="00FD4894">
            <w:pPr>
              <w:spacing w:after="0" w:line="240" w:lineRule="auto"/>
            </w:pPr>
            <w:r>
              <w:t>DOM ZA STARIJE OSOBE TRNJE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6675" w:rsidRDefault="00FD489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86675" w:rsidRDefault="00FD4894">
            <w:pPr>
              <w:spacing w:after="0" w:line="240" w:lineRule="auto"/>
            </w:pPr>
            <w:r>
              <w:t>31</w:t>
            </w:r>
          </w:p>
        </w:tc>
      </w:tr>
    </w:tbl>
    <w:p w:rsidR="00D86675" w:rsidRDefault="00FD4894">
      <w:r>
        <w:br/>
      </w:r>
    </w:p>
    <w:p w:rsidR="00D86675" w:rsidRDefault="00FD489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86675" w:rsidRDefault="00FD489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86675" w:rsidRDefault="00FD489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4.774.374,72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4.956.800,94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4.714.283,05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4.852.714,33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D866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60.091,67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104.086,61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173,2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106.370,40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37.282,75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D866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106.370,40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37.282,75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35,0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D866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D866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66.803,86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Za razdoblje od 01.01. 2025. do 31.12.2025. godine ukupni prihodi poslovanja približno su jednaki ukupnim prihodima u 2024. godini (povećanje 3,8%). Također jednaki porast prate i rashodi poslovanja u odnosu na prošlu godinu (povećanje 2,9%).</w:t>
      </w:r>
    </w:p>
    <w:p w:rsidR="00D86675" w:rsidRDefault="00FD4894">
      <w:r>
        <w:t>Iznos prikaza</w:t>
      </w:r>
      <w:r>
        <w:t xml:space="preserve">nog viška prihoda i primitka u iznosu od 66.803,86 eura proizlazi iz usluga i nabava započetih i evidentiranih u 2025. godini. Po </w:t>
      </w:r>
      <w:proofErr w:type="spellStart"/>
      <w:r>
        <w:t>njhovom</w:t>
      </w:r>
      <w:proofErr w:type="spellEnd"/>
      <w:r>
        <w:t xml:space="preserve"> završetku proizašle obveze biti će podmirene u  2026. godini.</w:t>
      </w:r>
    </w:p>
    <w:p w:rsidR="00D86675" w:rsidRDefault="00FD4894">
      <w:r>
        <w:lastRenderedPageBreak/>
        <w:br/>
      </w:r>
    </w:p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299,6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 xml:space="preserve">Značajno odstupanje od 199,6% odnosi se na dobivena </w:t>
      </w:r>
      <w:proofErr w:type="spellStart"/>
      <w:r>
        <w:t>srestva</w:t>
      </w:r>
      <w:proofErr w:type="spellEnd"/>
      <w:r>
        <w:t xml:space="preserve"> iz proračuna koji nam nije nadležan za nabavu nefinancijske imovine u 2025. godini za razliku od 2024. godine.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87.810,96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Tijekom 2025. Financijskim planom  osigurano je manje sredstava za nabavu nefinancijske imovine u odnosu na 2024. godinu (manje za 79,2%).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386,5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U 2025. godini na temelju projekta dobivena su sredstva i utrošena za organizaciju kulturnih radionica u organizaciji gradske četvrti Trnje za razliku od 2024. godine.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203,7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Bankarske usluge u 2025. godini su uvećane za 103,7% zbog povećanog kartičnog poslovanja blagajne u odnosu na 2024. godinu.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25.164,02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464,9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 xml:space="preserve">Obračunati prihodi poslovanja - </w:t>
      </w:r>
      <w:proofErr w:type="spellStart"/>
      <w:r>
        <w:t>neneaplaćeni</w:t>
      </w:r>
      <w:proofErr w:type="spellEnd"/>
      <w:r>
        <w:t xml:space="preserve"> veći su u 2025. godini za 364,9% u odnosu na 2024. godinu zbog nenaplaćenih ispostavljenih računa.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106.370,40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37.282,75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Financijskim planom za 2025. godinu osigurano je manje sredstava za nabavu dugotrajne imovine u odnosu na 2024. godinu za 65%.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68.759,45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147.994,17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215,2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U 2025. godini obveze za materijalne rashode su veće za 115,2 % u odnosu na 2024. godinu jer je pristiglo više računa u siječnju 2026. godine a koji  se odnose na period do 31.12.2025. godine.</w:t>
      </w:r>
    </w:p>
    <w:p w:rsidR="00D86675" w:rsidRDefault="00D86675"/>
    <w:p w:rsidR="00D86675" w:rsidRDefault="00FD489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86675" w:rsidRDefault="00FD489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86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66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D866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6675" w:rsidRDefault="00FD48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6675" w:rsidRDefault="00D86675">
      <w:pPr>
        <w:spacing w:after="0"/>
      </w:pPr>
    </w:p>
    <w:p w:rsidR="00D86675" w:rsidRDefault="00FD4894">
      <w:r>
        <w:t>Stanje dospjelih obveza na kraju izvještajnog razdoblja iznosi 0,00 eura iz razloga što smo sve obveze na dan 31.12.2025. godine podmirili.</w:t>
      </w:r>
    </w:p>
    <w:p w:rsidR="00D86675" w:rsidRDefault="00D86675"/>
    <w:sectPr w:rsidR="00D8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75"/>
    <w:rsid w:val="00D86675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3B7A-3C59-43D6-87A2-BFE5183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Korisnik551</dc:creator>
  <cp:lastModifiedBy>Korisnik551</cp:lastModifiedBy>
  <cp:revision>2</cp:revision>
  <cp:lastPrinted>2026-01-29T14:49:00Z</cp:lastPrinted>
  <dcterms:created xsi:type="dcterms:W3CDTF">2026-01-29T14:49:00Z</dcterms:created>
  <dcterms:modified xsi:type="dcterms:W3CDTF">2026-01-29T14:49:00Z</dcterms:modified>
</cp:coreProperties>
</file>